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Establiment de relacions de convivència a l'aula, al centre i a l'entorn basades en l'estima, el respecte i la conficança en un mateix i en les altres persones</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Estableixen relacions de convivència a l’aula, al centre i a l’entorn basades en l’estima, el respecte i la confiança en un mateix i en les altres persones</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Estimació de l’esforç personal i col·lectiu en els diferents tipus de joc al marge de les preferències i</w:t>
        <w:br/>
        <w:br/>
        <w:br/>
        <w:t>prejudicis.</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la dinàmica del treball cooperatiu, establint moments de revisió,</w:t>
        <w:br/>
        <w:br/>
        <w:br/>
        <w:t>respectant les aportacions dels/de les altres i resolent les discrepàncies amb arguments.</w:t>
      </w:r>
    </w:p>
    <w:p/>
    <w:p>
      <w:pPr>
        <w:pStyle w:val="Heading4"/>
      </w:pPr>
      <w:r>
        <w:t>CRITERI D'AVALUACIÓ</w:t>
      </w:r>
    </w:p>
    <w:p/>
    <w:p>
      <w:pPr>
        <w:pStyle w:val="Heading4"/>
      </w:pPr>
      <w:r>
        <w:t>PÀGINA REFERÈNCIA DOCUMENT CURRÍCULUM</w:t>
      </w:r>
    </w:p>
    <w:p>
      <w:pPr>
        <w:pStyle w:val="Normal4"/>
      </w:pPr>
      <w:r>
        <w:t>107</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