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diferents sistemes de creences, valors, cosmovisions  i formes de vida presents en l’entorn proper i al món, respectant i valorant la diversitat cultural existent com una oportunitat d'aprenentatge i enriquiment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Reflexionen críticament sobre els diferents sistemes de creences, valors, cosmovisions i formes de vida presents en l’entorn proper i al món, respectant i valorant la diversitat cultural existent com una oportunitat d’aprenentatge i enriquiment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ciutadana</w:t>
      </w:r>
    </w:p>
    <w:p/>
    <w:p>
      <w:pPr>
        <w:pStyle w:val="Heading1"/>
      </w:pPr>
      <w:r>
        <w:t>RECOMANACIONS PEDAGÒGIQUES</w:t>
      </w:r>
    </w:p>
    <w:p/>
    <w:p>
      <w:pPr>
        <w:pStyle w:val="Heading2"/>
      </w:pPr>
      <w:r>
        <w:t>ESTRATÈGIES DIDÀCTIQUES</w:t>
      </w:r>
    </w:p>
    <w:p/>
    <w:p>
      <w:pPr>
        <w:pStyle w:val="Heading3"/>
      </w:pPr>
      <w:r>
        <w:t>Cooperatiu per grups d'experts</w:t>
      </w:r>
    </w:p>
    <w:p/>
    <w:p>
      <w:pPr>
        <w:pStyle w:val="Heading4"/>
      </w:pPr>
      <w:r>
        <w:t>RECURSOS NECESSARIS</w:t>
      </w:r>
    </w:p>
    <w:p>
      <w:pPr>
        <w:pStyle w:val="Normal4"/>
      </w:pPr>
      <w:r>
        <w:t>Ordinadors (si escau)</w:t>
        <w:br/>
        <w:br/>
        <w:t>Llibres (si escau)</w:t>
      </w:r>
    </w:p>
    <w:p/>
    <w:p>
      <w:pPr>
        <w:pStyle w:val="Heading4"/>
      </w:pPr>
      <w:r>
        <w:t>CARACTERÍSTIQUES DELS AGENTS IMPLICATS</w:t>
      </w:r>
    </w:p>
    <w:p>
      <w:pPr>
        <w:pStyle w:val="Normal4"/>
      </w:pPr>
      <w:r>
        <w:t>El context d’aplicació d’aquesta tècnica és el de sessió-classe. És important que l’aplicació s’enfoqui a una posada en pràctica a curt termini, ja que és una tècnica que requereix una bona organització del grup classe. A més, requereix un treball previ per tal de controlar les valoracions finals que els grups han de fer de les exposicions dels seus companys.</w:t>
      </w:r>
    </w:p>
    <w:p/>
    <w:p>
      <w:pPr>
        <w:pStyle w:val="Heading4"/>
      </w:pPr>
      <w:r>
        <w:t>CONTEXT</w:t>
      </w:r>
    </w:p>
    <w:p/>
    <w:p>
      <w:pPr>
        <w:pStyle w:val="Heading4"/>
      </w:pPr>
      <w:r>
        <w:t>DESCRIPCIÓ DE LA TÈCNICA DIDÀCTICA</w:t>
      </w:r>
    </w:p>
    <w:p>
      <w:pPr>
        <w:pStyle w:val="Normal4"/>
      </w:pPr>
      <w:r>
        <w:t>El treball cooperatiu per experts consisteix en una tècnica didàctica on l’alumnat es divideix en grups de treball cooperatius heterogenis en quant a sexe i aptituds, formats per un nombre de persones que varia de tres a sis. Tots els grups treballen el mateix tema que ha estat dividit en tantes parts com a membres formen el mateix. Cada membre del grup es responsabilitza de la seva part per completar-la, aprendre-la i ensenyar-la als altres. Els components dels diferents grups que es troben treballant la mateixa part, es reuneixen per discutir-la, posar en comú les seves idees i discrepàncies, en el que es denomina grup d’experts. Una vegada finalitzat el treball com a grup d'experts, tornen al seu grup de referència –després d'haver assimilat els continguts d'aprenentatge que els corresponen- i ensenyen als altres els diferents aspectes que van aprendre i el procés dut a terme en el grup d'experts. S'estableix així una interdependència extrema entre els membres del grup per realitzar la tasca.</w:t>
        <w:br/>
        <w:br/>
        <w:t>Es prepara un tema que s’introdueix i s’esquematitza en diversos elements del mateix, o bé es preparen diversos temes diferents. La qüestió es separar el grup classe en subgrups que treballaran, a partir de fitxes o d’altres fonts d’informació (ordinadors, llibres, etc.).</w:t>
        <w:br/>
        <w:br/>
        <w:t>Els petits grups aprofundiran en els diversos temes o aspectes i posteriorment es formaran altres subgrups formats per un membre de cada un dels primers subgrups. En aquests segons subgrups, cada un dels seus integrants exposarà a la resta de companys tot allò que considera elemental del què ha treballat en el primer subgrup. Si els temes o elements a aprofundir són molt extensos, caldrà deixar espai de dues sessions diferents, o donar un mínim de una hora per a que els primers subgrups hi aprofundeixin. És important que els participants tinguin temps d’aprofundir en el material, si no, la tècnica no serveix de forma completa.</w:t>
      </w:r>
    </w:p>
    <w:p/>
    <w:p>
      <w:pPr>
        <w:pStyle w:val="Heading4"/>
      </w:pPr>
      <w:r>
        <w:t>JUSTIFICACIÓ</w:t>
      </w:r>
    </w:p>
    <w:p>
      <w:pPr>
        <w:pStyle w:val="Normal4"/>
      </w:pPr>
      <w:r>
        <w:t>L’objectiu és aconseguir l’adquisició i cristal·lització del coneixement, al mateix temps que aquest procés es proposat des d’una perspectiva cooperativa i de compartició de coneixement.</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Especialment recomanat per a treballar aspectes cognitivament complexos, nocions teòriques de difícil comprensió, etc. Aprendre i explicar és aprendre dues vegades, i d’aquesta manera s’aborden les nocions més complexes dels eixos temàtics de l’EpD amb més garanties.</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Medi ambient</w:t>
      </w:r>
    </w:p>
    <w:p>
      <w:pPr>
        <w:pStyle w:val="ListBullet2"/>
      </w:pPr>
      <w:r>
        <w:t>Interculturalitat crítica</w:t>
      </w:r>
    </w:p>
    <w:p/>
    <w:p>
      <w:pPr>
        <w:pStyle w:val="Heading4"/>
      </w:pPr>
      <w:r>
        <w:t>ORIENTACIONS</w:t>
      </w:r>
    </w:p>
    <w:p>
      <w:pPr>
        <w:pStyle w:val="Link4"/>
      </w:pPr>
      <w:hyperlink r:id="rId9">
        <w:r>
          <w:rPr/>
          <w:t>Assumpció de l’ús de diferents actituds cooperatives, solidàries i crítiques davant de situacions de discriminació per motiu de gènere, sexe i opció afectivasexual</w:t>
        </w:r>
      </w:hyperlink>
    </w:p>
    <w:p>
      <w:pPr>
        <w:pStyle w:val="Link4"/>
      </w:pPr>
      <w:hyperlink r:id="rId10">
        <w:r>
          <w:rPr/>
          <w:t>Manifestació d’actituds cooperatives, solidàries i crítiques davant de situacions de discriminació per motiu de gènere, sexe i opció afectivasexual</w:t>
        </w:r>
      </w:hyperlink>
    </w:p>
    <w:p>
      <w:pPr>
        <w:pStyle w:val="Link4"/>
      </w:pPr>
      <w:hyperlink r:id="rId11">
        <w:r>
          <w:rPr/>
          <w:t xml:space="preserve">Capacitat de treballar en col·laboració amb les persones del grup-classe en determinades tasques </w:t>
        </w:r>
      </w:hyperlink>
    </w:p>
    <w:p>
      <w:pPr>
        <w:pStyle w:val="Link4"/>
      </w:pPr>
      <w:hyperlink r:id="rId12">
        <w:r>
          <w:rPr/>
          <w:t xml:space="preserve">Treball col·laboratiu amb divisió de tasques equilibrades amb les persones del grup-classe </w:t>
        </w:r>
      </w:hyperlink>
    </w:p>
    <w:p>
      <w:pPr>
        <w:pStyle w:val="Link4"/>
      </w:pPr>
      <w:hyperlink r:id="rId13">
        <w:r>
          <w:rPr/>
          <w:t>Treball cooperatiu i reconeixement dels seus beneficis per totes les persones del grup-classe</w:t>
        </w:r>
      </w:hyperlink>
    </w:p>
    <w:p>
      <w:pPr>
        <w:pStyle w:val="Link4"/>
      </w:pPr>
      <w:hyperlink r:id="rId14">
        <w:r>
          <w:rPr/>
          <w:t>Planificació de tasques de grup-classe de forma cooperativa, i capacitat d’autoavaluar els beneficis de la cooperació per totes les persones</w:t>
        </w:r>
      </w:hyperlink>
    </w:p>
    <w:p>
      <w:pPr>
        <w:pStyle w:val="Link4"/>
      </w:pPr>
      <w:hyperlink r:id="rId15">
        <w:r>
          <w:rPr/>
          <w:t>Planificació de tasques de forma cooperativa, incloent actors externs a l’aula o al centre escolar. Reconeixement de la cooperació com a forma d’apoderament col.lectiu</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
      <w:pPr>
        <w:pStyle w:val="Heading4"/>
      </w:pPr>
      <w:r>
        <w:t>INSTRUMENTS D'AVALUACIÓ</w:t>
      </w:r>
    </w:p>
    <w:p>
      <w:pPr>
        <w:pStyle w:val="Link4"/>
      </w:pPr>
      <w:hyperlink r:id="rId19">
        <w:r>
          <w:rPr/>
          <w:t>Base d'orientació</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0">
        <w:r>
          <w:rPr/>
          <w:t>Identificació de les principals situacions de desigualtat, injustícia i discriminació per motiu de gènere, sexe o opció afectivosexual.</w:t>
        </w:r>
      </w:hyperlink>
    </w:p>
    <w:p>
      <w:pPr>
        <w:pStyle w:val="Link4"/>
      </w:pPr>
      <w:hyperlink r:id="rId21">
        <w:r>
          <w:rPr/>
          <w:t>Identificació dels principals fets de protagonisme i influència de les dones al llarg de la història com a motor de canvi i transformació social</w:t>
        </w:r>
      </w:hyperlink>
    </w:p>
    <w:p>
      <w:pPr>
        <w:pStyle w:val="Link4"/>
      </w:pPr>
      <w:hyperlink r:id="rId22">
        <w:r>
          <w:rPr/>
          <w:t>Identificació dels drets i deures individuals i col·lectius en qüestió de gènere.</w:t>
        </w:r>
      </w:hyperlink>
    </w:p>
    <w:p>
      <w:pPr>
        <w:pStyle w:val="Link4"/>
      </w:pPr>
      <w:hyperlink r:id="rId23">
        <w:r>
          <w:rPr/>
          <w:t>Sensibilització en les semblances i  diferències de gènere com a element enriquidor de les relacions interpersonals.</w:t>
        </w:r>
      </w:hyperlink>
    </w:p>
    <w:p>
      <w:pPr>
        <w:pStyle w:val="Link4"/>
      </w:pPr>
      <w:hyperlink r:id="rId24">
        <w:r>
          <w:rPr/>
          <w:t>Aprofundiment de les princials situacions de desigualtat, injustícia i discriminació per motiu de gènere, sexe o opció afectivosexual.</w:t>
        </w:r>
      </w:hyperlink>
    </w:p>
    <w:p>
      <w:pPr>
        <w:pStyle w:val="Link4"/>
      </w:pPr>
      <w:hyperlink r:id="rId25">
        <w:r>
          <w:rPr/>
          <w:t>Sensibilització sobre el paper de la dona i els sabers femenins com a motor de canvi i transformació social.</w:t>
        </w:r>
      </w:hyperlink>
    </w:p>
    <w:p>
      <w:pPr>
        <w:pStyle w:val="Link4"/>
      </w:pPr>
      <w:hyperlink r:id="rId26">
        <w:r>
          <w:rPr/>
          <w:t>Reconeixement  dels drets i deures individuals i col·lectius en qüestió de gènere.</w:t>
        </w:r>
      </w:hyperlink>
    </w:p>
    <w:p>
      <w:pPr>
        <w:pStyle w:val="Link4"/>
      </w:pPr>
      <w:hyperlink r:id="rId27">
        <w:r>
          <w:rPr/>
          <w:t>Valoració de les semblances i diferències de gènere com a element enriquidor de les relacions interpersonals.</w:t>
        </w:r>
      </w:hyperlink>
    </w:p>
    <w:p>
      <w:pPr>
        <w:pStyle w:val="Link4"/>
      </w:pPr>
      <w:hyperlink r:id="rId28">
        <w:r>
          <w:rPr/>
          <w:t>Reflexió crítica de les semblances i les diferències de gènere com a element enriquidor de les relacions interpersonals.</w:t>
        </w:r>
      </w:hyperlink>
    </w:p>
    <w:p>
      <w:pPr>
        <w:pStyle w:val="Link4"/>
      </w:pPr>
      <w:hyperlink r:id="rId29">
        <w:r>
          <w:rPr/>
          <w:t>Identificació de les causes (i les conseqüències) de l’existència de diferències i desigualtats socials per motiu d’identitat de gènere, d’identitat sexual i d’opció afectivasexual</w:t>
        </w:r>
      </w:hyperlink>
    </w:p>
    <w:p>
      <w:pPr>
        <w:pStyle w:val="Link4"/>
      </w:pPr>
      <w:hyperlink r:id="rId30">
        <w:r>
          <w:rPr/>
          <w:t>Sensibilització en les diferents identitats de gènere, identitats sexuals i opcions afectivosexuals</w:t>
        </w:r>
      </w:hyperlink>
    </w:p>
    <w:p>
      <w:pPr>
        <w:pStyle w:val="Link4"/>
      </w:pPr>
      <w:hyperlink r:id="rId31">
        <w:r>
          <w:rPr/>
          <w:t>Interès per coneixer les causes(i les conseqüències) de l’existència de diferències i desigualtats socials per motiu d’identitat de gènere, d’identitat sexual i d’opció afectivasexual</w:t>
        </w:r>
      </w:hyperlink>
    </w:p>
    <w:p>
      <w:pPr>
        <w:pStyle w:val="Link4"/>
      </w:pPr>
      <w:hyperlink r:id="rId32">
        <w:r>
          <w:rPr/>
          <w:t>Identificació de comportaments i actituds discriminatòries en diferents àmbits de la vida</w:t>
        </w:r>
      </w:hyperlink>
    </w:p>
    <w:p>
      <w:pPr>
        <w:pStyle w:val="Link4"/>
      </w:pPr>
      <w:hyperlink r:id="rId33">
        <w:r>
          <w:rPr/>
          <w:t>Identificació i ús de les eines, mecanismes i recursos de prevenció i protecció en situacions de discriminació i vulnerabilitat per motiu de gènere, sexe o opció afectivasexual.</w:t>
        </w:r>
      </w:hyperlink>
    </w:p>
    <w:p>
      <w:pPr>
        <w:pStyle w:val="Link4"/>
      </w:pPr>
      <w:hyperlink r:id="rId34">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5">
        <w:r>
          <w:rPr/>
          <w:t xml:space="preserve">Valoració negativa dels estereotips, prejudicis i discriminacions envers la identitat de gènere, la identitat sexual i l’opció afectivosexual </w:t>
        </w:r>
      </w:hyperlink>
    </w:p>
    <w:p>
      <w:pPr>
        <w:pStyle w:val="Link4"/>
      </w:pPr>
      <w:hyperlink r:id="rId36">
        <w:r>
          <w:rPr/>
          <w:t>Ús de les diferents eines, mecanismes i recursos de prevenció i protecció en situacions de discriminació i vulnerabilitat per motiu de gènere, sexe o opció afectivasexual</w:t>
        </w:r>
      </w:hyperlink>
    </w:p>
    <w:p>
      <w:pPr>
        <w:pStyle w:val="Link4"/>
      </w:pPr>
      <w:hyperlink r:id="rId37">
        <w:r>
          <w:rPr/>
          <w:t>Visió crítica envers els estereotips  i prejudicis de gènere en les diferents dimensions i àmbits personals i socials.</w:t>
        </w:r>
      </w:hyperlink>
    </w:p>
    <w:p>
      <w:pPr>
        <w:pStyle w:val="Link4"/>
      </w:pPr>
      <w:hyperlink r:id="rId38">
        <w:r>
          <w:rPr/>
          <w:t>Proposició de diferents eines, mecanismes i recursos de prevenció i protecció en situacions de discriminació i vulnerabilitat per motiu de gènere, sexe o opció afectivasexual</w:t>
        </w:r>
      </w:hyperlink>
    </w:p>
    <w:p>
      <w:pPr>
        <w:pStyle w:val="Link4"/>
      </w:pPr>
      <w:hyperlink r:id="rId39">
        <w:r>
          <w:rPr/>
          <w:t>Introducció a la dimensió internacional, al planeta i a altres països</w:t>
        </w:r>
      </w:hyperlink>
    </w:p>
    <w:p>
      <w:pPr>
        <w:pStyle w:val="Link4"/>
      </w:pPr>
      <w:hyperlink r:id="rId40">
        <w:r>
          <w:rPr/>
          <w:t>Presentació de les Nacions Unides i dels drets humans</w:t>
        </w:r>
      </w:hyperlink>
    </w:p>
    <w:p>
      <w:pPr>
        <w:pStyle w:val="Link4"/>
      </w:pPr>
      <w:hyperlink r:id="rId41">
        <w:r>
          <w:rPr/>
          <w:t>Coneixement del rol de les Nacions Unides i del dret internacional</w:t>
        </w:r>
      </w:hyperlink>
    </w:p>
    <w:p>
      <w:pPr>
        <w:pStyle w:val="Link4"/>
      </w:pPr>
      <w:hyperlink r:id="rId42">
        <w:r>
          <w:rPr/>
          <w:t>Coneixement del paper dels principals actors internacionals i dels mecanismes del dret existents per promoure la pau</w:t>
        </w:r>
      </w:hyperlink>
    </w:p>
    <w:p>
      <w:pPr>
        <w:pStyle w:val="Link4"/>
      </w:pPr>
      <w:hyperlink r:id="rId43">
        <w:r>
          <w:rPr/>
          <w:t>Valoració crítica dels principals actors i del dret internacionals existents, i de les pràctiques que suposen una oportunitat per promoure la pau</w:t>
        </w:r>
      </w:hyperlink>
    </w:p>
    <w:p>
      <w:pPr>
        <w:pStyle w:val="Link4"/>
      </w:pPr>
      <w:hyperlink r:id="rId44">
        <w:r>
          <w:rPr/>
          <w:t>Coneixement dels drets humans individuals i col.lectius reconeguts en la Declaració Universal dels Drets Humans, Convenció sobre els Drets de l’Infant, Estatut d’Autonomia i Constitució espanyola</w:t>
        </w:r>
      </w:hyperlink>
    </w:p>
    <w:p>
      <w:pPr>
        <w:pStyle w:val="Link4"/>
      </w:pPr>
      <w:hyperlink r:id="rId45">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6">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7">
        <w:r>
          <w:rPr/>
          <w:t>Coneixement dels diferents models de governança i sistemes d’organització política existents</w:t>
        </w:r>
      </w:hyperlink>
    </w:p>
    <w:p>
      <w:pPr>
        <w:pStyle w:val="Link4"/>
      </w:pPr>
      <w:hyperlink r:id="rId16">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Valoració de les diferents cosmologies i cosmogonies, i la seva vinculació amb el medi ambient, el territori i la naturalesa.</w:t>
        </w:r>
      </w:hyperlink>
    </w:p>
    <w:p>
      <w:pPr>
        <w:pStyle w:val="Link4"/>
      </w:pPr>
      <w:hyperlink r:id="rId61">
        <w:r>
          <w:rPr/>
          <w:t xml:space="preserve">Defensa i cura del medi ambient envers la seva regressió  i deteriorament. </w:t>
        </w:r>
      </w:hyperlink>
    </w:p>
    <w:p>
      <w:pPr>
        <w:pStyle w:val="Link4"/>
      </w:pPr>
      <w:hyperlink r:id="rId62">
        <w:r>
          <w:rPr/>
          <w:t>Valoració dels diferents elements que configuren el medi ambient, el territori proper i llunyà, i la naturalesa.</w:t>
        </w:r>
      </w:hyperlink>
    </w:p>
    <w:p>
      <w:pPr>
        <w:pStyle w:val="Link4"/>
      </w:pPr>
      <w:hyperlink r:id="rId63">
        <w:r>
          <w:rPr/>
          <w:t>Defensa i reivindicació de les diferents cosmologies i cosmogonies, i la seva vinculació amb el medi ambient, el territori i la naturalesa.</w:t>
        </w:r>
      </w:hyperlink>
    </w:p>
    <w:p>
      <w:pPr>
        <w:pStyle w:val="Link4"/>
      </w:pPr>
      <w:hyperlink r:id="rId64">
        <w:r>
          <w:rPr/>
          <w:t>Identificació de les diferents accions humanes que es produeixen sobre el medi ambient, el territori i la naturalesa</w:t>
        </w:r>
      </w:hyperlink>
    </w:p>
    <w:p>
      <w:pPr>
        <w:pStyle w:val="Link4"/>
      </w:pPr>
      <w:hyperlink r:id="rId65">
        <w:r>
          <w:rPr/>
          <w:t>Pràctica  d’iniciatives basades reducció, reutilització i reciclatge com a estratègies per a la cura del medi ambient, el territori i la naturalesa de l’entorn proper.</w:t>
        </w:r>
      </w:hyperlink>
    </w:p>
    <w:p>
      <w:pPr>
        <w:pStyle w:val="Link4"/>
      </w:pPr>
      <w:hyperlink r:id="rId66">
        <w:r>
          <w:rPr/>
          <w:t>Identificació de diferents alternatives de consum o activitats econòmiques relacionades amb la producció de béns i serveis.</w:t>
        </w:r>
      </w:hyperlink>
    </w:p>
    <w:p>
      <w:pPr>
        <w:pStyle w:val="Link4"/>
      </w:pPr>
      <w:hyperlink r:id="rId67">
        <w:r>
          <w:rPr/>
          <w:t>Aprofundiment en els diferents elements característics de la societat de consum.</w:t>
        </w:r>
      </w:hyperlink>
    </w:p>
    <w:p>
      <w:pPr>
        <w:pStyle w:val="Link4"/>
      </w:pPr>
      <w:hyperlink r:id="rId68">
        <w:r>
          <w:rPr/>
          <w:t>Coneixement de diferents alternatives de consum o activitats econòmiques relacionades amb la producció de béns i serveis.</w:t>
        </w:r>
      </w:hyperlink>
    </w:p>
    <w:p>
      <w:pPr>
        <w:pStyle w:val="Link4"/>
      </w:pPr>
      <w:hyperlink r:id="rId69">
        <w:r>
          <w:rPr/>
          <w:t>Coneixement dels diferents elements característics de la societat de consum i dels mitjans de comunicació i publicitaris que els donen cobertura</w:t>
        </w:r>
      </w:hyperlink>
    </w:p>
    <w:p>
      <w:pPr>
        <w:pStyle w:val="Link4"/>
      </w:pPr>
      <w:hyperlink r:id="rId70">
        <w:r>
          <w:rPr/>
          <w:t>Assumpció de les conseqüències que tenen les pròpies accions sobre el medi natural, i de mesurar-ne l’impacte.</w:t>
        </w:r>
      </w:hyperlink>
    </w:p>
    <w:p>
      <w:pPr>
        <w:pStyle w:val="Link4"/>
      </w:pPr>
      <w:hyperlink r:id="rId71">
        <w:r>
          <w:rPr/>
          <w:t>Implicació en propostes i accions de conservació i protecció del medi ambint, el territori i la naturalesa.</w:t>
        </w:r>
      </w:hyperlink>
    </w:p>
    <w:p>
      <w:pPr>
        <w:pStyle w:val="Link4"/>
      </w:pPr>
      <w:hyperlink r:id="rId72">
        <w:r>
          <w:rPr/>
          <w:t>Disseny i aplicació d’iniciatives basades en la reducció, la reutilització i el reciclatge per conservar el medi ambient, el territori i la naturalesa de l’entorn proper i llunyà.</w:t>
        </w:r>
      </w:hyperlink>
    </w:p>
    <w:p>
      <w:pPr>
        <w:pStyle w:val="Link4"/>
      </w:pPr>
      <w:hyperlink r:id="rId73">
        <w:r>
          <w:rPr/>
          <w:t>Anàlisi crítica de diferents alternatives de consum o activitats econòmiques relacionades amb la producció de béns i serveis.</w:t>
        </w:r>
      </w:hyperlink>
    </w:p>
    <w:p>
      <w:pPr>
        <w:pStyle w:val="Link4"/>
      </w:pPr>
      <w:hyperlink r:id="rId74">
        <w:r>
          <w:rPr/>
          <w:t>Anàlisi crítica dels diferents elements característics de la societat de consum, valorant possibles alternatives de consum o d’activitats econòmiques amb la producció de béns i serveis</w:t>
        </w:r>
      </w:hyperlink>
    </w:p>
    <w:p>
      <w:pPr>
        <w:pStyle w:val="Link4"/>
      </w:pPr>
      <w:hyperlink r:id="rId75">
        <w:r>
          <w:rPr/>
          <w:t>Conscienciació envers les pròpies accions sobre el medi natural i l’impacte que tenen.</w:t>
        </w:r>
      </w:hyperlink>
    </w:p>
    <w:p>
      <w:pPr>
        <w:pStyle w:val="Link4"/>
      </w:pPr>
      <w:hyperlink r:id="rId76">
        <w:r>
          <w:rPr/>
          <w:t>Compromís i implicació en desenvolupar propostes i accions de conservació del medi ambient, el territori i la naturalesa.</w:t>
        </w:r>
      </w:hyperlink>
    </w:p>
    <w:p>
      <w:pPr>
        <w:pStyle w:val="Link4"/>
      </w:pPr>
      <w:hyperlink r:id="rId77">
        <w:r>
          <w:rPr/>
          <w:t>Creativitat en el disseny d’iniciatives basades en la  reducció, la reutilització i el reciclatge, per tal de millorar la conservació del medi ambient, el territori i la naturalesa.</w:t>
        </w:r>
      </w:hyperlink>
    </w:p>
    <w:p>
      <w:pPr>
        <w:pStyle w:val="Link4"/>
      </w:pPr>
      <w:hyperlink r:id="rId78">
        <w:r>
          <w:rPr/>
          <w:t>Posicionament i reflexió crítica sobre les diferents alternatives sorgides per compensar l’impacte mediambiental de la societat de consum.</w:t>
        </w:r>
      </w:hyperlink>
    </w:p>
    <w:p>
      <w:pPr>
        <w:pStyle w:val="Link4"/>
      </w:pPr>
      <w:hyperlink r:id="rId79">
        <w:r>
          <w:rPr/>
          <w:t>Reflexió crítica en relació a la societat de consum i les seves característiques, proposant alternatives de consum o activitats econòmiques relacionades amb la producció de béns i serveis.</w:t>
        </w:r>
      </w:hyperlink>
    </w:p>
    <w:p>
      <w:pPr>
        <w:pStyle w:val="Link4"/>
      </w:pPr>
      <w:hyperlink r:id="rId80">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1">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8">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8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0">
        <w:r>
          <w:rPr/>
          <w:t>Carpeta d'aprenentatge</w:t>
        </w:r>
      </w:hyperlink>
    </w:p>
    <w:p>
      <w:pPr>
        <w:pStyle w:val="Link4"/>
      </w:pPr>
      <w:hyperlink r:id="rId91">
        <w:r>
          <w:rPr/>
          <w:t>Portafoli</w:t>
        </w:r>
      </w:hyperlink>
    </w:p>
    <w:p>
      <w:pPr>
        <w:pStyle w:val="Link4"/>
      </w:pPr>
      <w:hyperlink r:id="rId9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Lectura comentada i expressiva de relats breus i rondalles, incloent-hi mites i llegendes de diferents </w:t>
        <w:br/>
        <w:br/>
        <w:br/>
        <w:t>cultures, tot reconeixent els elements bàsics del relat literari i la seva funció.</w:t>
      </w:r>
    </w:p>
    <w:p/>
    <w:p>
      <w:pPr>
        <w:pStyle w:val="Heading4"/>
      </w:pPr>
      <w:r>
        <w:t>CRITERI D'AVALUACIÓ</w:t>
      </w:r>
    </w:p>
    <w:p/>
    <w:p>
      <w:pPr>
        <w:pStyle w:val="Heading4"/>
      </w:pPr>
      <w:r>
        <w:t>PÀGINA REFERÈNCIA DOCUMENT CURRÍCULUM</w:t>
      </w:r>
    </w:p>
    <w:p>
      <w:pPr>
        <w:pStyle w:val="Normal4"/>
      </w:pPr>
      <w:r>
        <w:t>Pàgina 46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la cultura, història, geografia, folklore, literatura i costums dels llocs d’origen</w:t>
        <w:br/>
        <w:br/>
        <w:br/>
        <w:t>de l’alumnat nouvingut a les aules.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no hi ha cap llengua que sigui inherentment superior o inferior –independentment</w:t>
        <w:br/>
        <w:br/>
        <w:br/>
        <w:t>del nombre de parlants de cada una– i que totes estan adaptades a les necessitats de les persones</w:t>
        <w:br/>
        <w:br/>
        <w:br/>
        <w:t>que les parlen.</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respecte per a les persones que parlen una llengua o varietat lingüística diferent de</w:t>
        <w:br/>
        <w:br/>
        <w:br/>
        <w:t>la pròpia, i així mateix que tenen una cultura diferenciada, especialment les de l’entorn més pròxim,</w:t>
        <w:br/>
        <w:br/>
        <w:br/>
        <w:t>començant per la classe, escola, poble o barri.</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les pròpies actituds davant les diferències de llengües i cultures i valoració de les</w:t>
        <w:br/>
        <w:br/>
        <w:br/>
        <w:t>variacions lingüístiques i culturals.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pel coneixement i per la lectura i audició de produccions tradicionals orals i escrites de la </w:t>
        <w:br/>
        <w:br/>
        <w:br/>
        <w:t>llengua estrangera (rimes, cançons, contes, llegendes).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de diferents projeccions cartogràfiques per representar la Terra. Lectura i interpretació</w:t>
        <w:br/>
        <w:br/>
        <w:br/>
        <w:t>de mapes, plànols i imatges de diferents característiques i suports (convencionals i digitals). Ús</w:t>
        <w:br/>
        <w:br/>
        <w:br/>
        <w:t>d’escales gràfiques i numèriques. Aproximació a les cosmovisions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la representació gràfica del temps històric. Ús de la periodització convencional i anàlisi</w:t>
        <w:br/>
        <w:br/>
        <w:br/>
        <w:t>de maneres de comptar el temps d’altres cultures.</w:t>
      </w:r>
    </w:p>
    <w:p/>
    <w:p>
      <w:pPr>
        <w:pStyle w:val="Heading4"/>
      </w:pPr>
      <w:r>
        <w:t>CRITERI D'AVALUACIÓ</w:t>
      </w:r>
    </w:p>
    <w:p/>
    <w:p>
      <w:pPr>
        <w:pStyle w:val="Heading4"/>
      </w:pPr>
      <w:r>
        <w:t>PÀGINA REFERÈNCIA DOCUMENT CURRÍCULUM</w:t>
      </w:r>
    </w:p>
    <w:p>
      <w:pPr>
        <w:pStyle w:val="Normal4"/>
      </w:pPr>
      <w:r>
        <w:t>Pàgina 118</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d’alguns elements de l’organització social, política i econòmica de la Grècia clàssica. Identificació</w:t>
        <w:br/>
        <w:br/>
        <w:br/>
        <w:t>dels factors que van permetre la consolidació de l’Imperi romà i dels que van provocar la seva</w:t>
        <w:br/>
        <w:br/>
        <w:br/>
        <w:t>crisi posterior, aplicant nocions de causalitat.</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i continuïtat en la interpretació de l’origen i l’expansió</w:t>
        <w:br/>
        <w:br/>
        <w:br/>
        <w:t>de l’Islam. Anàlisi de les formes de vida i de la confluència de cultures (cristians, musulmans i jueus)</w:t>
        <w:br/>
        <w:br/>
        <w:br/>
        <w:t>en les ciutats de la península Ibèrica.</w:t>
      </w:r>
    </w:p>
    <w:p/>
    <w:p>
      <w:pPr>
        <w:pStyle w:val="Heading4"/>
      </w:pPr>
      <w:r>
        <w:t>CRITERI D'AVALUACIÓ</w:t>
      </w:r>
    </w:p>
    <w:p/>
    <w:p>
      <w:pPr>
        <w:pStyle w:val="Heading4"/>
      </w:pPr>
      <w:r>
        <w:t>PÀGINA REFERÈNCIA DOCUMENT CURRÍCULUM</w:t>
      </w:r>
    </w:p>
    <w:p>
      <w:pPr>
        <w:pStyle w:val="Normal4"/>
      </w:pPr>
      <w:r>
        <w:t>Pàgina 121</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 l’evolució social, política i econòmica a l’edat moderna, situant l’imperi hispànic dins el</w:t>
        <w:br/>
        <w:br/>
        <w:br/>
        <w:t>context europeu. Comparació de situacions històriques de l’època moderna, com l’ampliació del món</w:t>
        <w:br/>
        <w:br/>
        <w:br/>
        <w:t>conegut pels europeus o els conflictes religiosos, entre d’altres, amb fets de l’actualitat. Caracterització</w:t>
        <w:br/>
        <w:br/>
        <w:br/>
        <w:t>d’alguna civilització no europea.</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a escoltar i conèixer obres i estils musicals diversos.</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Coneixement i valoració de manifestacions i obres musicals significatives del patrimoni musical català</w:t>
        <w:br/>
        <w:br/>
        <w:br/>
        <w:t>i universal.</w:t>
      </w:r>
    </w:p>
    <w:p/>
    <w:p>
      <w:pPr>
        <w:pStyle w:val="Heading4"/>
      </w:pPr>
      <w:r>
        <w:t>CRITERI D'AVALUACIÓ</w:t>
      </w:r>
    </w:p>
    <w:p/>
    <w:p>
      <w:pPr>
        <w:pStyle w:val="Heading4"/>
      </w:pPr>
      <w:r>
        <w:t>PÀGINA REFERÈNCIA DOCUMENT CURRÍCULUM</w:t>
      </w:r>
    </w:p>
    <w:p>
      <w:pPr>
        <w:pStyle w:val="Normal4"/>
      </w:pPr>
      <w:r>
        <w:t>206</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religions de l’Índia, la Xina i el Japó: el moment històric en què van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 text sagrat de les religions orientals.</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les cultures asteques, maies i inques, les seves creences religioses i expressió a</w:t>
        <w:br/>
        <w:br/>
        <w:br/>
        <w:t>través de l’art i la literatura.</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religió jueva, el moment històric en què va aparèixer, el seu cos doctrinal, les</w:t>
        <w:br/>
        <w:br/>
        <w:br/>
        <w:t>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 Bíblia jueva i reconeixement dels</w:t>
        <w:br/>
        <w:br/>
        <w:br/>
        <w:t>espais i símbols religiosos del judaisme.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l’Antic i el Nou Testament i reconeixement</w:t>
        <w:br/>
        <w:br/>
        <w:br/>
        <w:t>dels espais i símbols religiosos del cristianisme.</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la figura de Mahoma i de la religió islàmica, el moment històric en què va aparèixer,</w:t>
        <w:br/>
        <w:br/>
        <w:br/>
        <w:t>el seu cos doctrinal, les pràctiques religioses i la moral.</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Lectura i anàlisi d’alguns textos sagrats, pregàries i narracions de l’Alcorà i reconeixement dels espais</w:t>
        <w:br/>
        <w:br/>
        <w:br/>
        <w:t>i símbols religiosos islàmics.</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dels monoteismes jueu, cristià i islàmic sobre l’art, la música, la</w:t>
        <w:br/>
        <w:br/>
        <w:br/>
        <w:t>societat, la moral i les concepcions del món, al llarg del temps i en l’actualitat.</w:t>
      </w:r>
    </w:p>
    <w:p/>
    <w:p>
      <w:pPr>
        <w:pStyle w:val="Heading4"/>
      </w:pPr>
      <w:r>
        <w:t>CRITERI D'AVALUACIÓ</w:t>
      </w:r>
    </w:p>
    <w:p/>
    <w:p>
      <w:pPr>
        <w:pStyle w:val="Heading4"/>
      </w:pPr>
      <w:r>
        <w:t>PÀGINA REFERÈNCIA DOCUMENT CURRÍCULUM</w:t>
      </w:r>
    </w:p>
    <w:p>
      <w:pPr>
        <w:pStyle w:val="Normal4"/>
      </w:pPr>
      <w:r>
        <w:t>Pàgina 231</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Classificació de les religions (politeisme, monoteisme i religions sense déu).</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la religió en algunes manifestacions artístiques, la manera de veure</w:t>
        <w:br/>
        <w:br/>
        <w:br/>
        <w:t>el món, la moral i la vida quotidiana.</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comuns i les diferències entre les principals religions del món.</w:t>
      </w:r>
    </w:p>
    <w:p/>
    <w:p>
      <w:pPr>
        <w:pStyle w:val="Heading4"/>
      </w:pPr>
      <w:r>
        <w:t>CRITERI D'AVALUACIÓ</w:t>
      </w:r>
    </w:p>
    <w:p/>
    <w:p>
      <w:pPr>
        <w:pStyle w:val="Heading4"/>
      </w:pPr>
      <w:r>
        <w:t>PÀGINA REFERÈNCIA DOCUMENT CURRÍCULUM</w:t>
      </w:r>
    </w:p>
    <w:p>
      <w:pPr>
        <w:pStyle w:val="Normal4"/>
      </w:pPr>
      <w:r>
        <w:t>Pàgina 232</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BASE D'ORIENTACIÓ</w:t>
      </w:r>
    </w:p>
    <w:p>
      <w:pPr>
        <w:pStyle w:val="Normal4"/>
      </w:pPr>
      <w:r>
        <w:t>Uns instruments útils ideats per avaluar i regular l’aprenentatge són les bases d'orientació, anomenades així perquè la seva finalitat és que orientin l'alumnat en la seva tasca. De vegades, també se les anomena "guies de navegació" o "cartes d'estudi". Habitualment, una bona pregunta per generar aquest tipus de produccions és: "En què hem de pensar o què hem de fer per realitzar un determinat tipus de tasques?". L'avaluació de la qualitat d’aquestes bases d'orientació serà objectiu prioritari del procés d'aprenentatge perquè, de fet, resumeixen el coneixement que els estudiants hauran d’interioritzar, és a dir, retenir a la memòria de manera que es pugui activar quan calgui. Cada estudiant ha d'elaborar la seva pròpia base d'orientació, tot i que en alguns casos ho farà a partir d’un procés de construcció conjunt entre tot el grup-classe i en d’altres serà més individual.</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93">
        <w:r>
          <w:rPr/>
          <w:t>Assumpció del procés de construcció de la pròpia identitat, a partir de l’establiment de semblances i diferències, i l'establiment de relacions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matemàtica i competència en ciència, tecnologia i enginyeria</w:t>
      </w:r>
    </w:p>
    <w:p>
      <w:pPr>
        <w:pStyle w:val="ListBullet"/>
      </w:pPr>
      <w:r>
        <w:t>Competència ciutadana</w:t>
      </w:r>
    </w:p>
    <w:p>
      <w:pPr>
        <w:pStyle w:val="Link"/>
      </w:pPr>
      <w:hyperlink r:id="rId94">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stBullet"/>
      </w:pPr>
      <w:r>
        <w:t>Competència digital</w:t>
      </w:r>
    </w:p>
    <w:p>
      <w:pPr>
        <w:pStyle w:val="Link"/>
      </w:pPr>
      <w:hyperlink r:id="rId82">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7"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9" Type="http://schemas.openxmlformats.org/officeDocument/2006/relationships/hyperlink" Target="https://transformarelmon-guia.edualter.org/ca/instruments/base-dorientacio" TargetMode="External"/><Relationship Id="rId20"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1"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2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3"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3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0" Type="http://schemas.openxmlformats.org/officeDocument/2006/relationships/hyperlink" Target="https://transformarelmon-guia.edualter.org/ca/instruments/carpeta-daprenentatge" TargetMode="External"/><Relationship Id="rId91" Type="http://schemas.openxmlformats.org/officeDocument/2006/relationships/hyperlink" Target="https://transformarelmon-guia.edualter.org/ca/instruments/portafoli1" TargetMode="External"/><Relationship Id="rId92" Type="http://schemas.openxmlformats.org/officeDocument/2006/relationships/hyperlink" Target="https://transformarelmon-guia.edualter.org/ca/instruments/rubrica-perspeciva-feminista" TargetMode="External"/><Relationship Id="rId9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9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