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Assumpció del propi procés de construcció de la identitat de gènere, identitat sexual i opció afectivosexual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Assumeixen la seva responsabilitat en el propi procés de construcció de la identitat de gènere i de la identitat 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53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54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5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56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57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58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Conscienciació que les llengües són elements que defineixen la identitat personal i col·lectiva i una</w:t>
        <w:br/>
        <w:br/>
        <w:br/>
        <w:t>eina potenciadora de la comunicació i l’aprenentatge.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Conscienciació que les llengües són elements que defineixen la identitat personal i col·lectiva i una</w:t>
        <w:br/>
        <w:br/>
        <w:br/>
        <w:t>eina potenciadora de la comunicació i l’aprenentatge i una porta oberta a la comprensió del món i</w:t>
        <w:br/>
        <w:br/>
        <w:br/>
        <w:t>de les altres persones.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57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9">
        <w:r>
          <w:rPr/>
          <w:t>Anàlisi crítica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60">
        <w:r>
          <w:rPr/>
          <w:t>Desenvolupament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61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transformarelmon-guia.edualter.org/ca/instruments/diari-daula" TargetMode="External"/><Relationship Id="rId52" Type="http://schemas.openxmlformats.org/officeDocument/2006/relationships/hyperlink" Target="https://transformarelmon-guia.edualter.org/ca/instruments/portafoli1" TargetMode="External"/><Relationship Id="rId5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5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5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5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5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5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1s2" TargetMode="External"/><Relationship Id="rId6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6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