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>Defensa dels drets i deures individuals i col·lectius en qüestió de gènere.</w:t>
      </w:r>
    </w:p>
    <w:p/>
    <w:p>
      <w:pPr>
        <w:pStyle w:val="Heading1"/>
      </w:pPr>
      <w:r>
        <w:t>OBJECTIU EIX</w:t>
      </w:r>
    </w:p>
    <w:p>
      <w:pPr/>
      <w:r>
        <w:t>Promoure una ciutadania que potenciï l’equitat entre homes i dones i l’eliminació de tota mena de discriminació per qüestió de gènere, sexe i opció afectivasexual.</w:t>
      </w:r>
    </w:p>
    <w:p/>
    <w:p>
      <w:pPr>
        <w:pStyle w:val="Heading1"/>
      </w:pPr>
      <w:r>
        <w:t>OBJECTIU BLOC</w:t>
      </w:r>
    </w:p>
    <w:p>
      <w:pPr/>
      <w:r>
        <w:t>Reflexionar críticament sobre els diferents models de masculinitat i feminitat existents en les societats plurals i les seves conseqüències a nivell social i històric per tal de construir de manera conscient i autònoma el seu propi model com a persona.</w:t>
      </w:r>
    </w:p>
    <w:p/>
    <w:p>
      <w:pPr>
        <w:pStyle w:val="Heading1"/>
      </w:pPr>
      <w:r>
        <w:t>CRITERI D'AVALUACIÓ</w:t>
      </w:r>
    </w:p>
    <w:p>
      <w:pPr/>
      <w:r>
        <w:t>Defensen i promouen els drets i deures individuals i col·lectius en qüestió de gènere.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Masculinitats i feminitats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Tercer i quart d’ESO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Discussió de grups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Una discussió de grups es defineix com una conversació planificada i dissenyada que es desenvolupa en un ambient permissiu i no directiu amb la finalitat d’obtenir informació d’una àrea definida d’interès. Aquesta proposta es duu a la pràctica amb grups conformats entre set i deu persones, aproximadament. Aquestes estan guiades per un moderador. La discussió és relaxada i permet als participants exposar les seves idees i comentaris en comú. Els membres dels grups s’acostumen a influenciar mútuament, donat que responen a les idees i comentaris que van sorgint a la discussió.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10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11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12">
        <w:r>
          <w:rPr/>
          <w:t>Desenvolupament de diferents conductes i relacions interpersonals basades en el respecte, el diàleg i la igualtat</w:t>
        </w:r>
      </w:hyperlink>
    </w:p>
    <w:p>
      <w:pPr>
        <w:pStyle w:val="Link4"/>
      </w:pPr>
      <w:hyperlink r:id="rId13">
        <w:r>
          <w:rPr/>
          <w:t>Manifestació de conductes i relacions interpersonals basades en el respecte, el diàleg i la igualtat</w:t>
        </w:r>
      </w:hyperlink>
    </w:p>
    <w:p>
      <w:pPr>
        <w:pStyle w:val="Link4"/>
      </w:pPr>
      <w:hyperlink r:id="rId14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15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16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17">
        <w:r>
          <w:rPr/>
          <w:t>Defensa del conflicte com a oportunitat de canvi social</w:t>
        </w:r>
      </w:hyperlink>
    </w:p>
    <w:p>
      <w:pPr>
        <w:pStyle w:val="Link4"/>
      </w:pPr>
      <w:hyperlink r:id="rId18">
        <w:r>
          <w:rPr/>
          <w:t xml:space="preserve">Coneixement de les normes de l’aula </w:t>
        </w:r>
      </w:hyperlink>
    </w:p>
    <w:p>
      <w:pPr>
        <w:pStyle w:val="Link4"/>
      </w:pPr>
      <w:hyperlink r:id="rId19">
        <w:r>
          <w:rPr/>
          <w:t>Introducció a l’argumentació: capacitat d’explicar els propis motius</w:t>
        </w:r>
      </w:hyperlink>
    </w:p>
    <w:p>
      <w:pPr>
        <w:pStyle w:val="Link4"/>
      </w:pPr>
      <w:hyperlink r:id="rId20">
        <w:r>
          <w:rPr/>
          <w:t>Valoració de les normes de classe com a instrument de regulació de la convivència a l’aula i al centre escolar</w:t>
        </w:r>
      </w:hyperlink>
    </w:p>
    <w:p>
      <w:pPr>
        <w:pStyle w:val="Link4"/>
      </w:pPr>
      <w:hyperlink r:id="rId21">
        <w:r>
          <w:rPr/>
          <w:t>Pràctica de l’argumentació: capacitat d’explicar i justificar els posicionaments personals</w:t>
        </w:r>
      </w:hyperlink>
    </w:p>
    <w:p>
      <w:pPr>
        <w:pStyle w:val="Link4"/>
      </w:pPr>
      <w:hyperlink r:id="rId22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23">
        <w:r>
          <w:rPr/>
          <w:t>Capacitat de formular normes de classe que promoguin la convivència i de preveure mesures que siguin reparadores</w:t>
        </w:r>
      </w:hyperlink>
    </w:p>
    <w:p>
      <w:pPr>
        <w:pStyle w:val="Link4"/>
      </w:pPr>
      <w:hyperlink r:id="rId24">
        <w:r>
          <w:rPr/>
          <w:t>Obertura als arguments de les altres persones</w:t>
        </w:r>
      </w:hyperlink>
    </w:p>
    <w:p>
      <w:pPr>
        <w:pStyle w:val="Link4"/>
      </w:pPr>
      <w:hyperlink r:id="rId25">
        <w:r>
          <w:rPr/>
          <w:t>Valoració de la originalitat i adequació de les propostes formulades per a resoldre una tasca o un conflicte</w:t>
        </w:r>
      </w:hyperlink>
    </w:p>
    <w:p>
      <w:pPr>
        <w:pStyle w:val="Link4"/>
      </w:pPr>
      <w:hyperlink r:id="rId26">
        <w:r>
          <w:rPr/>
          <w:t>Definició conjunta i aplicació de normes de classe que promoguin la convivència, i de mesures reparadores</w:t>
        </w:r>
      </w:hyperlink>
    </w:p>
    <w:p>
      <w:pPr>
        <w:pStyle w:val="Link4"/>
      </w:pPr>
      <w:hyperlink r:id="rId27">
        <w:r>
          <w:rPr/>
          <w:t>Predisposició a matisar els propis arguments a partir de la dialèctica amb altres persones</w:t>
        </w:r>
      </w:hyperlink>
    </w:p>
    <w:p>
      <w:pPr>
        <w:pStyle w:val="Link4"/>
      </w:pPr>
      <w:hyperlink r:id="rId28">
        <w:r>
          <w:rPr/>
          <w:t>Capacitat de fer el seguiment i valorar el respecte de les normes de classe i el caràcter reparador de les mesures</w:t>
        </w:r>
      </w:hyperlink>
    </w:p>
    <w:p>
      <w:pPr>
        <w:pStyle w:val="Link4"/>
      </w:pPr>
      <w:hyperlink r:id="rId29">
        <w:r>
          <w:rPr/>
          <w:t xml:space="preserve">Pràctica i defensa de la dialèctica, com a forma d’apropar posicionaments amb l’altre i cooperar  </w:t>
        </w:r>
      </w:hyperlink>
    </w:p>
    <w:p>
      <w:pPr>
        <w:pStyle w:val="Link4"/>
      </w:pPr>
      <w:hyperlink r:id="rId30">
        <w:r>
          <w:rPr/>
          <w:t>Presentació dels conceptes de drets i deures</w:t>
        </w:r>
      </w:hyperlink>
    </w:p>
    <w:p>
      <w:pPr>
        <w:pStyle w:val="Link4"/>
      </w:pPr>
      <w:hyperlink r:id="rId31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32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33">
        <w:r>
          <w:rPr/>
          <w:t>Presa de consciència del procés de construcció de la pròpia identitat com a subjecte polític</w:t>
        </w:r>
      </w:hyperlink>
    </w:p>
    <w:p>
      <w:pPr>
        <w:pStyle w:val="Link4"/>
      </w:pPr>
      <w:hyperlink r:id="rId34">
        <w:r>
          <w:rPr/>
          <w:t xml:space="preserve">Anàlisi del tipus de relacions que s’estableixen entre els diferents agents que participen en l’organització de la vida pública i de les seves funcions </w:t>
        </w:r>
      </w:hyperlink>
    </w:p>
    <w:p>
      <w:pPr>
        <w:pStyle w:val="Link4"/>
      </w:pPr>
      <w:hyperlink r:id="rId35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36">
        <w:r>
          <w:rPr/>
          <w:t>Reflexió crítica sobre el tipus de relacions que s’estableixen entre els diferents agents que participen en l’organització de la vida pública i sobre les seves funcions</w:t>
        </w:r>
      </w:hyperlink>
    </w:p>
    <w:p>
      <w:pPr>
        <w:pStyle w:val="Link4"/>
      </w:pPr>
      <w:hyperlink r:id="rId37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38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39">
        <w:r>
          <w:rPr/>
          <w:t>Presentació i pràctica de les normes, i de la seva importància per a la convivència democràtica en els diferents àmbits relacionals</w:t>
        </w:r>
      </w:hyperlink>
    </w:p>
    <w:p>
      <w:pPr>
        <w:pStyle w:val="Link4"/>
      </w:pPr>
      <w:hyperlink r:id="rId40">
        <w:r>
          <w:rPr/>
          <w:t>Presentació i exercitació d’alguns mecanismes i vies de participació democràtica a l’aula</w:t>
        </w:r>
      </w:hyperlink>
    </w:p>
    <w:p>
      <w:pPr>
        <w:pStyle w:val="Link4"/>
      </w:pPr>
      <w:hyperlink r:id="rId41">
        <w:r>
          <w:rPr/>
          <w:t>Assumpció i interiorització d’habilitats per a la comunicació i la convivència que contribueixin a orientar les relacions interpersonals amb una perspectiva ètica tant en l’entorn proper com llunyà</w:t>
        </w:r>
      </w:hyperlink>
    </w:p>
    <w:p>
      <w:pPr>
        <w:pStyle w:val="Link4"/>
      </w:pPr>
      <w:hyperlink r:id="rId42">
        <w:r>
          <w:rPr/>
          <w:t>Identificació dels drets propis i de les persones i col•lectius de l’entorn proper,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3">
        <w:r>
          <w:rPr/>
          <w:t>Observació d'actituds</w:t>
        </w:r>
      </w:hyperlink>
    </w:p>
    <w:p/>
    <w:p>
      <w:pPr>
        <w:pStyle w:val="Heading3"/>
      </w:pPr>
      <w:r>
        <w:t>Campanya de sensibilització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campanya de sensibilització és una proposta d'ampli abast que pretén, en primer lloc, despertar i activar la sensibilitat moral de les persones cap a un tema carregat de valors; en segon lloc, analitzar el tema en tota la seva profunditat; en tercer lloc, reflexionar sobre les accions que s'estan realitzat actualment; i finalment, motivar que es generin propostes diferents per generar un canvi i una millora de la situació actual.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d'interdependència positiva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4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45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46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0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47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48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49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50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1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52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53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54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55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7">
        <w:r>
          <w:rPr/>
          <w:t>Defensa del conflicte com a oportunitat de canvi social</w:t>
        </w:r>
      </w:hyperlink>
    </w:p>
    <w:p>
      <w:pPr>
        <w:pStyle w:val="Link4"/>
      </w:pPr>
      <w:hyperlink r:id="rId56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57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58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59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60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61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62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31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63">
        <w:r>
          <w:rPr/>
          <w:t>Defensa i promoció dels drets propis i de les persones tant de l’entorn proper com  llunyà a partir de l’assertivitat, l’empatia i la solidaritat</w:t>
        </w:r>
      </w:hyperlink>
    </w:p>
    <w:p>
      <w:pPr>
        <w:pStyle w:val="Link4"/>
      </w:pPr>
      <w:hyperlink r:id="rId64">
        <w:r>
          <w:rPr/>
          <w:t xml:space="preserve">Denúncia davant de situacions de vulnerabilitat social i de violació de drets fonamentals tant en l’entorn proper com en el llunyà </w:t>
        </w:r>
      </w:hyperlink>
    </w:p>
    <w:p>
      <w:pPr>
        <w:pStyle w:val="Link4"/>
      </w:pPr>
      <w:hyperlink r:id="rId32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65">
        <w:r>
          <w:rPr/>
          <w:t>Anàlisi de missatges procedent dels mitjans de comunicació, Internet i altres fonts i de la influència que aquests exerceixen en la construcció de l’opinió pública i en la concepció del món</w:t>
        </w:r>
      </w:hyperlink>
    </w:p>
    <w:p>
      <w:pPr>
        <w:pStyle w:val="Link4"/>
      </w:pPr>
      <w:hyperlink r:id="rId66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67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68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6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70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71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72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73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74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75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6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77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78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79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80">
        <w:r>
          <w:rPr/>
          <w:t>Defensa i promoció dels principis i valors fonamentals (justícia, equitat, dignitat, pau, llibertat, solidaritat...) que constitueixen la base de la igualtat de drets i oportunitats per a totes les persones, independentment de l'origen o pertinença, duent a terme accions reivindicatives en situacions de vulneració</w:t>
        </w:r>
      </w:hyperlink>
    </w:p>
    <w:p>
      <w:pPr>
        <w:pStyle w:val="Link4"/>
      </w:pPr>
      <w:hyperlink r:id="rId81">
        <w:r>
          <w:rPr/>
          <w:t>Proposta i disseny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8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83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84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85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>
      <w:pPr>
        <w:pStyle w:val="Link4"/>
      </w:pPr>
      <w:hyperlink r:id="rId86">
        <w:r>
          <w:rPr/>
          <w:t xml:space="preserve">Reivindicació i defensa de la participació en la presa de decisions i en la definició de les normes de convivència de totes les persones i grups socials, sense exclusions per motius d’origen o pertinença </w:t>
        </w:r>
      </w:hyperlink>
    </w:p>
    <w:p>
      <w:pPr>
        <w:pStyle w:val="Link4"/>
      </w:pPr>
      <w:hyperlink r:id="rId87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88">
        <w:r>
          <w:rPr/>
          <w:t>Contractes didàctics</w:t>
        </w:r>
      </w:hyperlink>
    </w:p>
    <w:p/>
    <w:p>
      <w:pPr>
        <w:pStyle w:val="Heading3"/>
      </w:pPr>
      <w:r>
        <w:t>Aprenentatge servei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L'aprenentatge servei és una proposta educativa que combina processos d'aprenentatge i de servei a la comunitat en un únic projecte ben articulat en el qual els participants es formen treballant sobre necessitats reals de l'entorn amb l'objectiu de millorar-ho. La relació circular que s'estableix entre l'aprenentatge i el servei genera una nova realitat que intensifica els efectes de cada un per separat. L'aprenentatge millora el servei a la comunitat, perquè aquest guanya en qualitat, i el servei dóna sentit a l'aprenentatge, perquè allò que s'aprèn es pot transferir a la realitat en forma d'acció.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5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0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89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90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55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91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92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93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94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95">
        <w:r>
          <w:rPr/>
          <w:t>Assumpció de les responsabilitats i els compromisos adquirits en relació a la planificació, organització i realització de tasques i projectes en l’àmbit escolar, familiar i en la vida quotidiana</w:t>
        </w:r>
      </w:hyperlink>
    </w:p>
    <w:p>
      <w:pPr>
        <w:pStyle w:val="Link4"/>
      </w:pPr>
      <w:hyperlink r:id="rId96">
        <w:r>
          <w:rPr/>
          <w:t xml:space="preserve">Assumpció de les responsabilitats que es deriven de les pròpies decisions i de les conseqüències d’aquestes decisions </w:t>
        </w:r>
      </w:hyperlink>
    </w:p>
    <w:p>
      <w:pPr>
        <w:pStyle w:val="Link4"/>
      </w:pPr>
      <w:hyperlink r:id="rId66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67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97">
        <w:r>
          <w:rPr/>
          <w:t>Desenvolupament de nous mecanismes i vies de participació democràtica a l’aula, al centre i a l’entorn, indagant propostes de millora i aprofundiment democràtic</w:t>
        </w:r>
      </w:hyperlink>
    </w:p>
    <w:p>
      <w:pPr>
        <w:pStyle w:val="Link4"/>
      </w:pPr>
      <w:hyperlink r:id="rId98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99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100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101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102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103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104">
        <w:r>
          <w:rPr/>
          <w:t xml:space="preserve">Construcció de relacions de convivència assertives i respectuoses amb totes les persones i grups socials independentment del seu origen o pertinença. </w:t>
        </w:r>
      </w:hyperlink>
    </w:p>
    <w:p>
      <w:pPr>
        <w:pStyle w:val="Link4"/>
      </w:pPr>
      <w:hyperlink r:id="rId87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05">
        <w:r>
          <w:rPr/>
          <w:t>Carpeta d'aprenentatge</w:t>
        </w:r>
      </w:hyperlink>
    </w:p>
    <w:p>
      <w:pPr>
        <w:pStyle w:val="Link4"/>
      </w:pPr>
      <w:hyperlink r:id="rId106">
        <w:r>
          <w:rPr/>
          <w:t>Portafoli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CONTRACTES DIDÀCTICS</w:t>
      </w:r>
    </w:p>
    <w:p>
      <w:pPr>
        <w:pStyle w:val="Normal4"/>
      </w:pPr>
      <w:r>
        <w:t>Un contracte didàctic és un document que organitza les situacions d’aprenentatge o de comportament, en virtut del qual una o vàries persones es comprometen, després d’una negociació, a portar a terme els acords als quals han arribat per assolir uns objectius que poden ser de caire cognitiu, metodològic o de comportament. El contracte didàctic és un instrument que permet, per una banda, promoure la responsabilitat de l’alumnat en el procés d’ensenyament-aprenentatge i, per una altra, fomentar la capacitat d’autoavaluació i pensament crític de l’alumnat.</w:t>
        <w:br/>
        <w:br/>
        <w:t>Per saber-ne més, clica aquí.</w:t>
      </w:r>
    </w:p>
    <w:p/>
    <w:p/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07">
        <w:r>
          <w:rPr/>
          <w:t>Reconeixement dels drets i deures individuals i col·lectius en qüestió de gènere.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08">
        <w:r>
          <w:rPr/>
          <w:t xml:space="preserve">Consciènciació i autonomia en la construcció del propi model de masculinitat i feminitat.  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44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45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46">
        <w:r>
          <w:rPr/>
          <w:t>Reivindicació del paper de la dona i els sabers femenins com a motor de canvi i transformació social.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m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5_gen_ba_s3s4" TargetMode="External"/><Relationship Id="rId1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1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1s2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3s4" TargetMode="External"/><Relationship Id="rId1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1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1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1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1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i" TargetMode="External"/><Relationship Id="rId1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i" TargetMode="External"/><Relationship Id="rId2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m" TargetMode="External"/><Relationship Id="rId2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m" TargetMode="External"/><Relationship Id="rId2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2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s" TargetMode="External"/><Relationship Id="rId2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s" TargetMode="External"/><Relationship Id="rId2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s" TargetMode="External"/><Relationship Id="rId2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5_cp_bb_s1s2" TargetMode="External"/><Relationship Id="rId2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1s2" TargetMode="External"/><Relationship Id="rId2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5_cp_bb_s3s4" TargetMode="External"/><Relationship Id="rId2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3s4" TargetMode="External"/><Relationship Id="rId30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i" TargetMode="External"/><Relationship Id="rId31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1s2" TargetMode="External"/><Relationship Id="rId3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3s4" TargetMode="External"/><Relationship Id="rId33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s" TargetMode="External"/><Relationship Id="rId34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2_ddhh_bb_s1s2" TargetMode="External"/><Relationship Id="rId35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3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2_ddhh_bb_s3s4" TargetMode="External"/><Relationship Id="rId3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3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39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4_ddhh_bc_ci" TargetMode="External"/><Relationship Id="rId4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5_ddhh_bc_ci" TargetMode="External"/><Relationship Id="rId41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3_ddhh_bc_s3s4" TargetMode="External"/><Relationship Id="rId42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m" TargetMode="External"/><Relationship Id="rId43" Type="http://schemas.openxmlformats.org/officeDocument/2006/relationships/hyperlink" Target="https://transformarelmon-guia.edualter.org/ca/instruments/observacio-dactituds" TargetMode="External"/><Relationship Id="rId4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3s4" TargetMode="External"/><Relationship Id="rId4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4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4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4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4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5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5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5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5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5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5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5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5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5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59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s" TargetMode="External"/><Relationship Id="rId60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61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s" TargetMode="External"/><Relationship Id="rId6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1s2" TargetMode="External"/><Relationship Id="rId6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3s4" TargetMode="External"/><Relationship Id="rId6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3_ddhh_ba_s3s4" TargetMode="External"/><Relationship Id="rId65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s" TargetMode="External"/><Relationship Id="rId66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67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6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6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7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7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7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7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7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7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7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7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7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7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8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3s4" TargetMode="External"/><Relationship Id="rId8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1s2" TargetMode="External"/><Relationship Id="rId8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8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84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s" TargetMode="External"/><Relationship Id="rId8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8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1_int_bc_s3s4" TargetMode="External"/><Relationship Id="rId8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88" Type="http://schemas.openxmlformats.org/officeDocument/2006/relationships/hyperlink" Target="https://transformarelmon-guia.edualter.org/ca/instruments/contractes-didactics" TargetMode="External"/><Relationship Id="rId8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9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9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92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9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9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95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s" TargetMode="External"/><Relationship Id="rId96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1_ddhh_bc_s3s4" TargetMode="External"/><Relationship Id="rId97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5_ddhh_bc_s3s4" TargetMode="External"/><Relationship Id="rId9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9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10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10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10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10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104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3_int_bc_s1s2" TargetMode="External"/><Relationship Id="rId105" Type="http://schemas.openxmlformats.org/officeDocument/2006/relationships/hyperlink" Target="https://transformarelmon-guia.edualter.org/ca/instruments/carpeta-daprenentatge" TargetMode="External"/><Relationship Id="rId106" Type="http://schemas.openxmlformats.org/officeDocument/2006/relationships/hyperlink" Target="https://transformarelmon-guia.edualter.org/ca/instruments/portafoli1" TargetMode="External"/><Relationship Id="rId10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5_gen_ba_s1s2" TargetMode="External"/><Relationship Id="rId10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3s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