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principals situacions de desigualtat, injustícia i discriminació per motiu de gènere, sexe o opció afectivosexual.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les principals situacions de desigualtat, injustícia i discriminació per motiu de gènere, sexe o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importància de la participació i coresponsabilitat en les tasques de la vida</w:t>
        <w:br/>
        <w:br/>
        <w:br/>
        <w:t>domèstica, escolar i social, superant estereotips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Representació de situacions quotidianes on s’assumeixin rols culturals diferents del propi, s’observin</w:t>
        <w:br/>
        <w:br/>
        <w:br/>
        <w:t>les manifestacions culturals de l’entorn i es valori la seva diversitat i riquesa.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