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semblances i diferències de gènere com a element enriquidor de les relacions interpersonals.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Descriuen les principals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Introducció a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5">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