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per aprofundir en els diferents mecanismes i vies de participació democràtica a l’aula i al centre escolar, indagant propostes de millora i aprofundiment democràtic</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S’interessen per aprofundir en els diferents mecanismes i vies de participació democràtica a l’aula i al centre escolar, indagant propostes de millora i aprofundiment democràtic</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participació com un dret i un deure. Identificació i ús dels mecanismes de participació</w:t>
        <w:br/>
        <w:br/>
        <w:br/>
        <w:t>en el funcionament de l’aula i de l’escola, valorant les estratègies implicades de treball en grup</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capacitat per adaptar-se a una realitat en constant evolució, per mitjà d’actituds flexibles</w:t>
        <w:br/>
        <w:br/>
        <w:br/>
        <w:t>i obertes. Valoració de la disponibilitat per trobar solucions als problemes i intentar millorar la realitat</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a l’escola com a aprenentatge per a la vida en democràcia. Reconeixement de la</w:t>
        <w:br/>
        <w:br/>
        <w:br/>
        <w:t>diversitat d’opinions i de l’ús de diferents canals per a l’intercanvi d’opinions i difusió d’informacions.</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0">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34">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digital</w:t>
      </w:r>
    </w:p>
    <w:p>
      <w:pPr>
        <w:pStyle w:val="ListBullet"/>
      </w:pPr>
      <w:r>
        <w:t>Competència en comunicació lingüística</w:t>
      </w:r>
    </w:p>
    <w:p>
      <w:pPr>
        <w:pStyle w:val="ListBullet"/>
      </w:pPr>
      <w:r>
        <w:t>Competència personal, social i d'aprendre a aprendre</w:t>
      </w:r>
    </w:p>
    <w:p>
      <w:pPr>
        <w:pStyle w:val="ListBullet"/>
      </w:pPr>
      <w:r>
        <w:t>Competència matemàtica i competència en ciència, tecnologia i enginyeria</w:t>
      </w:r>
    </w:p>
    <w:p>
      <w:pPr>
        <w:pStyle w:val="ListBullet"/>
      </w:pPr>
      <w:r>
        <w:t>Competència emprenedora</w:t>
      </w:r>
    </w:p>
    <w:p>
      <w:pPr>
        <w:pStyle w:val="ListBullet"/>
      </w:pPr>
      <w:r>
        <w:t>Competència ciutadana</w:t>
      </w:r>
    </w:p>
    <w:p>
      <w:pPr>
        <w:pStyle w:val="ListBullet"/>
      </w:pPr>
      <w:r>
        <w:t>Competència en consciència i expressió culturals</w:t>
      </w:r>
    </w:p>
    <w:p>
      <w:pPr>
        <w:pStyle w:val="Link"/>
      </w:pPr>
      <w:hyperlink r:id="rId71">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72">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5">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60">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7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7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