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i pràctica de les diferents normes per a la  convivència democràtica al centre, la família i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i practiquen les diferents normes per a la convivència democràtica al centre, la família i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acceptació i compliment de les normes del joc.</w:t>
      </w:r>
    </w:p>
    <w:p/>
    <w:p>
      <w:pPr>
        <w:pStyle w:val="Heading4"/>
      </w:pPr>
      <w:r>
        <w:t>CRITERI D'AVALUACIÓ</w:t>
      </w:r>
    </w:p>
    <w:p/>
    <w:p>
      <w:pPr>
        <w:pStyle w:val="Heading4"/>
      </w:pPr>
      <w:r>
        <w:t>PÀGINA REFERÈNCIA DOCUMENT CURRÍCULUM</w:t>
      </w:r>
    </w:p>
    <w:p>
      <w:pPr>
        <w:pStyle w:val="Normal4"/>
      </w:pPr>
      <w:r>
        <w:t>123</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62">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6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digital</w:t>
      </w:r>
    </w:p>
    <w:p>
      <w:pPr>
        <w:pStyle w:val="ListBullet"/>
      </w:pPr>
      <w:r>
        <w:t>Competència en consciència i expressió culturals</w:t>
      </w:r>
    </w:p>
    <w:p>
      <w:pPr>
        <w:pStyle w:val="ListBullet"/>
      </w:pPr>
      <w:r>
        <w:t>Competència personal, social i d'aprendre a aprendre</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