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la necessitat de prendre decisions de forma autònoma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la necessitat de prendre decisions de forma autònoma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Aprofundiment de les princials situacions de desigualtat, injustícia i discriminació per motiu de gènere, sexe o opció afectivosexual.</w:t>
        </w:r>
      </w:hyperlink>
    </w:p>
    <w:p>
      <w:pPr>
        <w:pStyle w:val="Link4"/>
      </w:pPr>
      <w:hyperlink r:id="rId69">
        <w:r>
          <w:rPr/>
          <w:t>Reconeixement del valor de l’acció pacífica per a resoldre els conflictes</w:t>
        </w:r>
      </w:hyperlink>
    </w:p>
    <w:p>
      <w:pPr>
        <w:pStyle w:val="Link4"/>
      </w:pPr>
      <w:hyperlink r:id="rId50">
        <w:r>
          <w:rPr/>
          <w:t>Identificació de la necessitat de prendre decisions de forma autònoma</w:t>
        </w:r>
      </w:hyperlink>
    </w:p>
    <w:p>
      <w:pPr>
        <w:pStyle w:val="Link4"/>
      </w:pPr>
      <w:hyperlink r:id="rId70">
        <w:r>
          <w:rPr/>
          <w:t>Interès en prendre decisions de forma autònoma i expressar-les</w:t>
        </w:r>
      </w:hyperlink>
    </w:p>
    <w:p>
      <w:pPr>
        <w:pStyle w:val="Link4"/>
      </w:pPr>
      <w:hyperlink r:id="rId51">
        <w:r>
          <w:rPr/>
          <w:t>Valoració de les responsabilitats i les conseqüències que es deriven de les pròpies decisions</w:t>
        </w:r>
      </w:hyperlink>
    </w:p>
    <w:p>
      <w:pPr>
        <w:pStyle w:val="Link4"/>
      </w:pPr>
      <w:hyperlink r:id="rId71">
        <w:r>
          <w:rPr/>
          <w:t>Responsabilitat i autonomia en la presa de decisions, assumpció de les conseqüències de les pròpies decisions, desenvolupant una actitud autocrítica</w:t>
        </w:r>
      </w:hyperlink>
    </w:p>
    <w:p>
      <w:pPr>
        <w:pStyle w:val="Link4"/>
      </w:pPr>
      <w:hyperlink r:id="rId72">
        <w:r>
          <w:rPr/>
          <w:t>Interès per les pròpies accions sobre el medi ambient, el territori i la naturalesa de l’entorn proper</w:t>
        </w:r>
      </w:hyperlink>
    </w:p>
    <w:p/>
    <w:p>
      <w:pPr>
        <w:pStyle w:val="Heading4"/>
      </w:pPr>
      <w:r>
        <w:t>INSTRUMENTS D'AVALUACIÓ</w:t>
      </w:r>
    </w:p>
    <w:p>
      <w:pPr>
        <w:pStyle w:val="Link4"/>
      </w:pPr>
      <w:hyperlink r:id="rId73">
        <w:r>
          <w:rPr/>
          <w:t>Rúbrica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1"/>
      </w:pPr>
      <w:r>
        <w:t>CONTINGUTS VINCULATS</w:t>
      </w:r>
    </w:p>
    <w:p>
      <w:pPr>
        <w:pStyle w:val="Link"/>
      </w:pPr>
      <w:hyperlink r:id="rId70">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1">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4">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75">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76">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77">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73" Type="http://schemas.openxmlformats.org/officeDocument/2006/relationships/hyperlink" Target="https://transformarelmon-guia.edualter.org/ca/instruments/rubrica"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7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