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Denúncia davant de situacions de vulnerabilitat social i de violació de drets fonamentals tant en l’entorn proper com en el llunyà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Denuncien situacions de vulnerabilitat social i de violació de drets fonamentals tant en l’entorn proper com en el llunyà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crítica dels prejudicis sexistes i discriminacions de gènere per mitjà de l’anàlisi i debat de</w:t>
        <w:br/>
        <w:br/>
        <w:br/>
        <w:t>casos, en la nostra societat i en d’altres.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situacions d’incompliment d’aquests drets d’àmbit global i anàlisi de la</w:t>
        <w:br/>
        <w:br/>
        <w:br/>
        <w:t>situació en l’entorn proper, per mitjà de l’observació i la interpretació crítica de la realitat.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comportaments i actituds discriminatòries (sexistes, misògines, homofòbiques,</w:t>
        <w:br/>
        <w:br/>
        <w:br/>
        <w:t>xenòfobes de preponderància de la força física) en els diferents àmbits relacionals escolars i en</w:t>
        <w:br/>
        <w:br/>
        <w:br/>
        <w:t>les relacions personals i socials d’àmbit extraescolar.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situacions d’incompliment dels drets humans en els àmbits local i</w:t>
        <w:br/>
        <w:br/>
        <w:br/>
        <w:t>global. Coneixement de mecanismes per combatre l’incompliment i la violació dels drets humans.</w:t>
        <w:br/>
        <w:br/>
        <w:br/>
        <w:t>Reflexió crítica sobre les garanties i límits dels drets i les llibertats.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