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Observació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Observen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1"/>
      </w:pPr>
      <w:r>
        <w:t>CONTINGUTS VINCULATS</w:t>
      </w:r>
    </w:p>
    <w:p>
      <w:pPr>
        <w:pStyle w:val="Link"/>
      </w:pPr>
      <w:hyperlink r:id="rId17">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18">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matemàtica i competència en ciència, tecnologia i enginyeria</w:t>
      </w:r>
    </w:p>
    <w:p>
      <w:pPr>
        <w:pStyle w:val="ListBullet"/>
      </w:pPr>
      <w:r>
        <w:t>Competència emprenedora</w:t>
      </w:r>
    </w:p>
    <w:p>
      <w:pPr>
        <w:pStyle w:val="ListBullet"/>
      </w:pPr>
      <w:r>
        <w:t>Competència ciutadana</w:t>
      </w:r>
    </w:p>
    <w:p>
      <w:pPr>
        <w:pStyle w:val="Link"/>
      </w:pPr>
      <w:hyperlink r:id="rId11">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19">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0">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