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Reconeixement de i no col•laboració amb principis, normes i formes d’organització injustes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No col·laboren amb algun principi, norma i forma d’organització injustes.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Valoració positiva de les normes de centre i socials, reconeixent-ne el benefici per una mateixa, per les altres persones i per la societat</w:t>
        </w:r>
      </w:hyperlink>
    </w:p>
    <w:p>
      <w:pPr>
        <w:pStyle w:val="ListBullet"/>
      </w:pPr>
      <w:r>
        <w:t>Pau i Noviolència</w:t>
      </w:r>
    </w:p>
    <w:p>
      <w:pPr>
        <w:pStyle w:val="ListBullet"/>
      </w:pPr>
      <w:r>
        <w:t>Educació Secundària Obligatòria (ESO)</w:t>
      </w:r>
    </w:p>
    <w:p>
      <w:pPr>
        <w:pStyle w:val="Link"/>
      </w:pPr>
      <w:hyperlink r:id="rId44">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5">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7">
        <w:r>
          <w:rPr/>
          <w:t>Actuació amb coherència (cura d’una mateixa, cura de l’altre, cura de l’entorn) per la creació d’alternatives que tendeixin a la cultura de pau global</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