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Reconeixement de i no col•laboració amb principis, normes i formes d’organització injustes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No col·laboren amb algun principi, norma i forma d’organització injustes.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Valoració positiva de les normes de centre i socials, reconeixent-ne el benefici per una mateixa, per les altres persones i per la societat</w:t>
        </w:r>
      </w:hyperlink>
    </w:p>
    <w:p>
      <w:pPr>
        <w:pStyle w:val="ListBullet"/>
      </w:pPr>
      <w:r>
        <w:t>Pau i Noviolència</w:t>
      </w:r>
    </w:p>
    <w:p>
      <w:pPr>
        <w:pStyle w:val="ListBullet"/>
      </w:pPr>
      <w:r>
        <w:t>Educació Secundària Obligatòria (ESO)</w:t>
      </w:r>
    </w:p>
    <w:p>
      <w:pPr>
        <w:pStyle w:val="Link"/>
      </w:pPr>
      <w:hyperlink r:id="rId44">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5">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7">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