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Coneixement de tipus de conflictes a l'aula i a la realitat propera i capacitat d’argumentar si són violents o no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Reconeixen diferents tipus de conflictes a l’aula i en l’entorn proper i argumenten si són violents o no.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5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9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97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>
      <w:pPr>
        <w:pStyle w:val="Link4"/>
      </w:pPr>
      <w:hyperlink r:id="rId105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0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07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108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109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11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11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2">
        <w:r>
          <w:rPr/>
          <w:t>Valoració dels beneficis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3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7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7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7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7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7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7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7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8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8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8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8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8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8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8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8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8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9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9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9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9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9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9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0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0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0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10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104" Type="http://schemas.openxmlformats.org/officeDocument/2006/relationships/hyperlink" Target="https://transformarelmon-guia.edualter.org/ca/instruments/diari-daula" TargetMode="External"/><Relationship Id="rId105" Type="http://schemas.openxmlformats.org/officeDocument/2006/relationships/hyperlink" Target="https://transformarelmon-guia.edualter.org/ca/instruments/portafoli1" TargetMode="External"/><Relationship Id="rId10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0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10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10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11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11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1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