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canalitzar la violència directa pròpia  (física, verbal i psicològica)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Controlen el seu propi recurs a la violència directa (física, verbal i psicològica) en les relacions interpersonals.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9">
        <w:r>
          <w:rPr/>
          <w:t>Identificació dels diferents tipus de violència directa (verbal, física, psicològica) en les relacions interpersonals i l’entorn proper</w:t>
        </w:r>
      </w:hyperlink>
    </w:p>
    <w:p>
      <w:pPr>
        <w:pStyle w:val="ListBullet"/>
      </w:pPr>
      <w:r>
        <w:t>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Pau i Noviolència</w:t>
      </w:r>
    </w:p>
    <w:p>
      <w:pPr>
        <w:pStyle w:val="ListBullet"/>
      </w:pPr>
      <w:r>
        <w:t>Educació Primària</w:t>
      </w:r>
    </w:p>
    <w:p>
      <w:pPr>
        <w:pStyle w:val="Link"/>
      </w:pPr>
      <w:hyperlink r:id="rId101">
        <w:r>
          <w:rPr/>
          <w:t>Valoració dels beneficis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16">
        <w:r>
          <w:rPr/>
          <w:t>Presentació de les Nacions Unides i dels drets humans</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